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86" w:rsidRPr="00ED7286" w:rsidRDefault="00ED7286" w:rsidP="00ED7286">
      <w:pPr>
        <w:spacing w:after="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r w:rsidRPr="00ED7286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АДМИНИСТРАЦИЯ</w:t>
      </w:r>
    </w:p>
    <w:p w:rsidR="00ED7286" w:rsidRPr="00ED7286" w:rsidRDefault="00ED7286" w:rsidP="00ED7286">
      <w:pPr>
        <w:spacing w:after="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r w:rsidRPr="00ED7286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ШАРАШЕНСКОГО СЕЛЬСКОГО ПОСЕЛЕНИЯ</w:t>
      </w:r>
    </w:p>
    <w:p w:rsidR="00ED7286" w:rsidRPr="00ED7286" w:rsidRDefault="00ED7286" w:rsidP="00ED7286">
      <w:pPr>
        <w:spacing w:after="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r w:rsidRPr="00ED7286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 xml:space="preserve"> АЛЕКСЕЕВСКОГО МУНИЦИПАЛЬНОГО РАЙОНА </w:t>
      </w:r>
    </w:p>
    <w:p w:rsidR="00ED7286" w:rsidRPr="00ED7286" w:rsidRDefault="00ED7286" w:rsidP="00ED7286">
      <w:pPr>
        <w:spacing w:after="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r w:rsidRPr="00ED7286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ВОЛГОГРАДСКОЙ ОБЛАСТИ</w:t>
      </w:r>
    </w:p>
    <w:p w:rsidR="00ED7286" w:rsidRPr="00ED7286" w:rsidRDefault="00ED7286" w:rsidP="00ED7286">
      <w:pPr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ED7286">
        <w:rPr>
          <w:rFonts w:eastAsia="Times New Roman" w:cs="Times New Roman"/>
          <w:noProof/>
          <w:color w:val="000000" w:themeColor="text1"/>
          <w:sz w:val="26"/>
          <w:szCs w:val="26"/>
          <w:lang w:eastAsia="ru-RU"/>
        </w:rPr>
        <w:pict>
          <v:line id="_x0000_s1027" style="position:absolute;left:0;text-align:left;z-index:251660288" from="0,6.65pt" to="450pt,6.65pt" strokeweight="3pt">
            <v:stroke linestyle="thinThin"/>
          </v:line>
        </w:pict>
      </w:r>
    </w:p>
    <w:p w:rsidR="00ED7286" w:rsidRPr="00ED7286" w:rsidRDefault="00ED7286" w:rsidP="00ED7286">
      <w:pPr>
        <w:spacing w:after="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ED7286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П</w:t>
      </w:r>
      <w:proofErr w:type="gramEnd"/>
      <w:r w:rsidRPr="00ED7286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E94F22" w:rsidRPr="00ED7286" w:rsidRDefault="00E94F22" w:rsidP="00E94F22">
      <w:pPr>
        <w:tabs>
          <w:tab w:val="left" w:pos="2210"/>
        </w:tabs>
        <w:spacing w:after="0" w:line="240" w:lineRule="auto"/>
        <w:ind w:firstLine="720"/>
        <w:jc w:val="both"/>
        <w:rPr>
          <w:color w:val="000000" w:themeColor="text1"/>
          <w:sz w:val="26"/>
          <w:szCs w:val="26"/>
        </w:rPr>
      </w:pPr>
    </w:p>
    <w:p w:rsidR="00E94F22" w:rsidRPr="00ED7286" w:rsidRDefault="0066039B" w:rsidP="00E94F22">
      <w:pPr>
        <w:tabs>
          <w:tab w:val="left" w:pos="2210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 08.02.2022</w:t>
      </w:r>
      <w:r w:rsidR="00E94F22" w:rsidRPr="00ED7286">
        <w:rPr>
          <w:color w:val="000000" w:themeColor="text1"/>
          <w:sz w:val="26"/>
          <w:szCs w:val="26"/>
        </w:rPr>
        <w:t xml:space="preserve">                                     № </w:t>
      </w:r>
      <w:r>
        <w:rPr>
          <w:color w:val="000000" w:themeColor="text1"/>
          <w:sz w:val="26"/>
          <w:szCs w:val="26"/>
        </w:rPr>
        <w:t>14</w:t>
      </w:r>
      <w:r w:rsidR="00E94F22" w:rsidRPr="00ED7286">
        <w:rPr>
          <w:color w:val="000000" w:themeColor="text1"/>
          <w:sz w:val="26"/>
          <w:szCs w:val="26"/>
        </w:rPr>
        <w:t xml:space="preserve"> </w:t>
      </w:r>
    </w:p>
    <w:p w:rsidR="003938BF" w:rsidRPr="00ED7286" w:rsidRDefault="003938BF" w:rsidP="00E94F22">
      <w:pPr>
        <w:tabs>
          <w:tab w:val="left" w:pos="2210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637"/>
      </w:tblGrid>
      <w:tr w:rsidR="003938BF" w:rsidRPr="00ED7286" w:rsidTr="00965A1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938BF" w:rsidRPr="00ED7286" w:rsidRDefault="00965A1B" w:rsidP="00ED728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ED7286"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Шарашенского сельского поселения от 24</w:t>
            </w:r>
            <w:r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.12.2021 </w:t>
            </w:r>
            <w:r w:rsidR="00ED7286"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года № 80</w:t>
            </w:r>
            <w:r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</w:t>
            </w:r>
            <w:r w:rsidR="003938BF"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 утверждении Порядка учета</w:t>
            </w:r>
            <w:r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3938BF"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бюджетных и денежных обязательств</w:t>
            </w:r>
            <w:r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3938BF"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получателей средств бюджета</w:t>
            </w:r>
            <w:r w:rsidR="00ED7286"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Шарашенского сельского поселения</w:t>
            </w:r>
            <w:r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3938BF"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Алексеевского муниципального района</w:t>
            </w:r>
            <w:r w:rsidR="00ED7286"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Волгоградской области</w:t>
            </w:r>
            <w:r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="00EF1250" w:rsidRPr="00ED72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938BF" w:rsidRPr="00ED7286" w:rsidTr="00965A1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938BF" w:rsidRPr="00ED7286" w:rsidRDefault="003938BF" w:rsidP="003938B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43D12" w:rsidRPr="00ED7286" w:rsidRDefault="00743D12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ED7286">
        <w:rPr>
          <w:color w:val="000000" w:themeColor="text1"/>
          <w:sz w:val="26"/>
          <w:szCs w:val="26"/>
        </w:rPr>
        <w:t xml:space="preserve">В соответствии с </w:t>
      </w:r>
      <w:hyperlink r:id="rId7" w:history="1">
        <w:r w:rsidRPr="00ED7286">
          <w:rPr>
            <w:color w:val="000000" w:themeColor="text1"/>
            <w:sz w:val="26"/>
            <w:szCs w:val="26"/>
          </w:rPr>
          <w:t>пунктами 1</w:t>
        </w:r>
      </w:hyperlink>
      <w:r w:rsidRPr="00ED7286">
        <w:rPr>
          <w:color w:val="000000" w:themeColor="text1"/>
          <w:sz w:val="26"/>
          <w:szCs w:val="26"/>
        </w:rPr>
        <w:t xml:space="preserve">, </w:t>
      </w:r>
      <w:hyperlink r:id="rId8" w:history="1">
        <w:r w:rsidRPr="00ED7286">
          <w:rPr>
            <w:color w:val="000000" w:themeColor="text1"/>
            <w:sz w:val="26"/>
            <w:szCs w:val="26"/>
          </w:rPr>
          <w:t>2</w:t>
        </w:r>
      </w:hyperlink>
      <w:r w:rsidRPr="00ED7286">
        <w:rPr>
          <w:color w:val="000000" w:themeColor="text1"/>
          <w:sz w:val="26"/>
          <w:szCs w:val="26"/>
        </w:rPr>
        <w:t xml:space="preserve">, </w:t>
      </w:r>
      <w:hyperlink r:id="rId9" w:history="1">
        <w:r w:rsidR="001573D6" w:rsidRPr="00ED7286">
          <w:rPr>
            <w:color w:val="000000" w:themeColor="text1"/>
            <w:sz w:val="26"/>
            <w:szCs w:val="26"/>
          </w:rPr>
          <w:t>абзаца</w:t>
        </w:r>
        <w:r w:rsidRPr="00ED7286">
          <w:rPr>
            <w:color w:val="000000" w:themeColor="text1"/>
            <w:sz w:val="26"/>
            <w:szCs w:val="26"/>
          </w:rPr>
          <w:t xml:space="preserve"> треть</w:t>
        </w:r>
        <w:r w:rsidR="001573D6" w:rsidRPr="00ED7286">
          <w:rPr>
            <w:color w:val="000000" w:themeColor="text1"/>
            <w:sz w:val="26"/>
            <w:szCs w:val="26"/>
          </w:rPr>
          <w:t>его</w:t>
        </w:r>
        <w:r w:rsidRPr="00ED7286">
          <w:rPr>
            <w:color w:val="000000" w:themeColor="text1"/>
            <w:sz w:val="26"/>
            <w:szCs w:val="26"/>
          </w:rPr>
          <w:t xml:space="preserve"> пункта 5 статьи 219</w:t>
        </w:r>
      </w:hyperlink>
      <w:r w:rsidRPr="00ED7286">
        <w:rPr>
          <w:color w:val="000000" w:themeColor="text1"/>
          <w:sz w:val="26"/>
          <w:szCs w:val="26"/>
        </w:rPr>
        <w:t xml:space="preserve"> Бюджетного кодекса Российской Федерации</w:t>
      </w:r>
      <w:r w:rsidR="00ED7286" w:rsidRPr="00ED7286">
        <w:rPr>
          <w:color w:val="000000" w:themeColor="text1"/>
          <w:sz w:val="26"/>
          <w:szCs w:val="26"/>
        </w:rPr>
        <w:t>,</w:t>
      </w:r>
      <w:r w:rsidRPr="00ED7286">
        <w:rPr>
          <w:color w:val="000000" w:themeColor="text1"/>
          <w:sz w:val="26"/>
          <w:szCs w:val="26"/>
        </w:rPr>
        <w:t xml:space="preserve"> </w:t>
      </w:r>
      <w:r w:rsidR="00ED7286" w:rsidRPr="00ED7286">
        <w:rPr>
          <w:color w:val="000000" w:themeColor="text1"/>
          <w:sz w:val="26"/>
          <w:szCs w:val="26"/>
        </w:rPr>
        <w:t xml:space="preserve">администрация Шарашенского сельского поселения </w:t>
      </w:r>
      <w:proofErr w:type="spellStart"/>
      <w:proofErr w:type="gramStart"/>
      <w:r w:rsidR="00ED7286" w:rsidRPr="00ED7286">
        <w:rPr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="00ED7286" w:rsidRPr="00ED7286">
        <w:rPr>
          <w:b/>
          <w:color w:val="000000" w:themeColor="text1"/>
          <w:sz w:val="26"/>
          <w:szCs w:val="26"/>
        </w:rPr>
        <w:t xml:space="preserve"> о с т а </w:t>
      </w:r>
      <w:proofErr w:type="spellStart"/>
      <w:r w:rsidR="00ED7286" w:rsidRPr="00ED7286">
        <w:rPr>
          <w:b/>
          <w:color w:val="000000" w:themeColor="text1"/>
          <w:sz w:val="26"/>
          <w:szCs w:val="26"/>
        </w:rPr>
        <w:t>н</w:t>
      </w:r>
      <w:proofErr w:type="spellEnd"/>
      <w:r w:rsidR="00ED7286" w:rsidRPr="00ED7286">
        <w:rPr>
          <w:b/>
          <w:color w:val="000000" w:themeColor="text1"/>
          <w:sz w:val="26"/>
          <w:szCs w:val="26"/>
        </w:rPr>
        <w:t xml:space="preserve"> о в л я е т:</w:t>
      </w:r>
    </w:p>
    <w:p w:rsidR="004315A5" w:rsidRPr="00ED7286" w:rsidRDefault="004315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F60C8F" w:rsidRPr="00ED7286" w:rsidRDefault="00EE3677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ED7286">
        <w:rPr>
          <w:color w:val="000000" w:themeColor="text1"/>
          <w:sz w:val="26"/>
          <w:szCs w:val="26"/>
        </w:rPr>
        <w:t>1.</w:t>
      </w:r>
      <w:r w:rsidR="004315A5" w:rsidRPr="00ED7286">
        <w:rPr>
          <w:color w:val="000000" w:themeColor="text1"/>
          <w:sz w:val="26"/>
          <w:szCs w:val="26"/>
        </w:rPr>
        <w:t xml:space="preserve">Внести изменения в Порядок учета бюджетных и денежных обязательств получателей средств бюджета </w:t>
      </w:r>
      <w:r w:rsidR="00ED7286" w:rsidRPr="00ED7286">
        <w:rPr>
          <w:color w:val="000000" w:themeColor="text1"/>
          <w:sz w:val="26"/>
          <w:szCs w:val="26"/>
        </w:rPr>
        <w:t>Шарашенского сельского поселения Алексеевского муниципального района Волгоградской области</w:t>
      </w:r>
      <w:r w:rsidR="004315A5" w:rsidRPr="00ED7286">
        <w:rPr>
          <w:color w:val="000000" w:themeColor="text1"/>
          <w:sz w:val="26"/>
          <w:szCs w:val="26"/>
        </w:rPr>
        <w:t>:</w:t>
      </w:r>
    </w:p>
    <w:p w:rsidR="00EE3677" w:rsidRPr="00D24029" w:rsidRDefault="00EE3677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F60C8F" w:rsidRPr="00D24029" w:rsidRDefault="004315A5" w:rsidP="00F60C8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D24029">
        <w:rPr>
          <w:color w:val="000000" w:themeColor="text1"/>
          <w:sz w:val="26"/>
          <w:szCs w:val="26"/>
        </w:rPr>
        <w:t>Пункт 14 Порядка изложить в редакции</w:t>
      </w:r>
      <w:r w:rsidR="00F60C8F" w:rsidRPr="00D24029">
        <w:rPr>
          <w:color w:val="000000" w:themeColor="text1"/>
          <w:sz w:val="26"/>
          <w:szCs w:val="26"/>
        </w:rPr>
        <w:t>:</w:t>
      </w:r>
    </w:p>
    <w:p w:rsidR="00F60C8F" w:rsidRPr="00D24029" w:rsidRDefault="00F60C8F" w:rsidP="00F60C8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D24029">
        <w:rPr>
          <w:color w:val="000000" w:themeColor="text1"/>
          <w:sz w:val="26"/>
          <w:szCs w:val="26"/>
        </w:rPr>
        <w:t xml:space="preserve">«14. </w:t>
      </w:r>
      <w:proofErr w:type="gramStart"/>
      <w:r w:rsidRPr="00D24029">
        <w:rPr>
          <w:color w:val="000000" w:themeColor="text1"/>
          <w:sz w:val="26"/>
          <w:szCs w:val="26"/>
        </w:rPr>
        <w:t xml:space="preserve">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P96" w:history="1">
        <w:r w:rsidRPr="00D24029">
          <w:rPr>
            <w:color w:val="000000" w:themeColor="text1"/>
            <w:sz w:val="26"/>
            <w:szCs w:val="26"/>
          </w:rPr>
          <w:t>абзацами вторым</w:t>
        </w:r>
      </w:hyperlink>
      <w:r w:rsidRPr="00D24029">
        <w:rPr>
          <w:color w:val="000000" w:themeColor="text1"/>
          <w:sz w:val="26"/>
          <w:szCs w:val="26"/>
        </w:rPr>
        <w:t xml:space="preserve">, третьим, шестым пункта 9, пунктами 10 и 12 настоящего Порядка, орган Федерального казначейства в срок, установленный </w:t>
      </w:r>
      <w:hyperlink w:anchor="P95" w:history="1">
        <w:r w:rsidRPr="00D24029">
          <w:rPr>
            <w:color w:val="000000" w:themeColor="text1"/>
            <w:sz w:val="26"/>
            <w:szCs w:val="26"/>
          </w:rPr>
          <w:t>абзацем первым пункта 9</w:t>
        </w:r>
      </w:hyperlink>
      <w:r w:rsidRPr="00D24029">
        <w:rPr>
          <w:color w:val="000000" w:themeColor="text1"/>
          <w:sz w:val="26"/>
          <w:szCs w:val="26"/>
        </w:rPr>
        <w:t xml:space="preserve">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</w:t>
      </w:r>
      <w:proofErr w:type="gramEnd"/>
      <w:r w:rsidRPr="00D24029">
        <w:rPr>
          <w:color w:val="000000" w:themeColor="text1"/>
          <w:sz w:val="26"/>
          <w:szCs w:val="26"/>
        </w:rPr>
        <w:t xml:space="preserve">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- Уведомление).</w:t>
      </w:r>
    </w:p>
    <w:p w:rsidR="00F60C8F" w:rsidRPr="00D24029" w:rsidRDefault="00F60C8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D24029">
        <w:rPr>
          <w:color w:val="000000" w:themeColor="text1"/>
          <w:sz w:val="26"/>
          <w:szCs w:val="26"/>
        </w:rPr>
        <w:t>В отношении Сведений о бюджетных обязательствах, представленных на бумажном носителе, орган Федерального казначейства возвращает получателю средств местного бюджета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отказа»</w:t>
      </w:r>
    </w:p>
    <w:p w:rsidR="00F60C8F" w:rsidRPr="00D24029" w:rsidRDefault="00F60C8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ED7286" w:rsidRPr="00D24029" w:rsidRDefault="00ED7286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F60C8F" w:rsidRPr="00D24029" w:rsidRDefault="00F60C8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D24029">
        <w:rPr>
          <w:color w:val="000000" w:themeColor="text1"/>
          <w:sz w:val="26"/>
          <w:szCs w:val="26"/>
        </w:rPr>
        <w:t>Пункт 7</w:t>
      </w:r>
      <w:r w:rsidRPr="00D24029">
        <w:rPr>
          <w:color w:val="000000" w:themeColor="text1"/>
        </w:rPr>
        <w:t xml:space="preserve"> </w:t>
      </w:r>
      <w:r w:rsidRPr="00D24029">
        <w:rPr>
          <w:color w:val="000000" w:themeColor="text1"/>
          <w:sz w:val="26"/>
          <w:szCs w:val="26"/>
        </w:rPr>
        <w:t>Приложения №1 и изложить его в редакции:</w:t>
      </w:r>
    </w:p>
    <w:p w:rsidR="00B63411" w:rsidRPr="00ED7286" w:rsidRDefault="00B63411">
      <w:pPr>
        <w:pStyle w:val="ConsPlusNormal"/>
        <w:ind w:firstLine="540"/>
        <w:jc w:val="both"/>
        <w:rPr>
          <w:color w:val="FF0000"/>
          <w:sz w:val="26"/>
          <w:szCs w:val="2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5"/>
        <w:gridCol w:w="5102"/>
      </w:tblGrid>
      <w:tr w:rsidR="00B63411" w:rsidRPr="00ED7286" w:rsidTr="008F6431">
        <w:tc>
          <w:tcPr>
            <w:tcW w:w="3965" w:type="dxa"/>
          </w:tcPr>
          <w:p w:rsidR="00B63411" w:rsidRPr="00D24029" w:rsidRDefault="00B63411" w:rsidP="008F6431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lastRenderedPageBreak/>
              <w:t>7. Реквизиты контрагента/взыскателя по исполнительному документу/решению налогового органа*</w:t>
            </w:r>
          </w:p>
        </w:tc>
        <w:tc>
          <w:tcPr>
            <w:tcW w:w="5102" w:type="dxa"/>
          </w:tcPr>
          <w:p w:rsidR="00B63411" w:rsidRPr="00D24029" w:rsidRDefault="00B63411" w:rsidP="008F6431">
            <w:pPr>
              <w:pStyle w:val="ConsPlusNormal"/>
              <w:rPr>
                <w:color w:val="000000" w:themeColor="text1"/>
                <w:sz w:val="20"/>
              </w:rPr>
            </w:pPr>
          </w:p>
        </w:tc>
      </w:tr>
      <w:tr w:rsidR="00B63411" w:rsidRPr="00ED7286" w:rsidTr="008F6431">
        <w:tc>
          <w:tcPr>
            <w:tcW w:w="3965" w:type="dxa"/>
          </w:tcPr>
          <w:p w:rsidR="00B63411" w:rsidRPr="00D24029" w:rsidRDefault="00B63411" w:rsidP="008F6431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102" w:type="dxa"/>
          </w:tcPr>
          <w:p w:rsidR="00B63411" w:rsidRPr="00D24029" w:rsidRDefault="00B63411" w:rsidP="008F6431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</w:rPr>
            </w:pPr>
            <w:proofErr w:type="gramStart"/>
            <w:r w:rsidRPr="00D24029">
              <w:rPr>
                <w:color w:val="000000" w:themeColor="text1"/>
                <w:sz w:val="20"/>
              </w:rPr>
              <w:t>Указывается наименование поставщика (подрядчика, исполнителя, получателя денежных средств) (далее - контрагент)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B63411" w:rsidRPr="00D24029" w:rsidRDefault="00B63411" w:rsidP="008F6431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B63411" w:rsidRPr="00ED7286" w:rsidTr="008F6431">
        <w:tc>
          <w:tcPr>
            <w:tcW w:w="3965" w:type="dxa"/>
          </w:tcPr>
          <w:p w:rsidR="00B63411" w:rsidRPr="00D24029" w:rsidRDefault="00B63411" w:rsidP="008F6431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7.2. Идентификационный номер налогоплательщика (ИНН)</w:t>
            </w:r>
          </w:p>
        </w:tc>
        <w:tc>
          <w:tcPr>
            <w:tcW w:w="5102" w:type="dxa"/>
          </w:tcPr>
          <w:p w:rsidR="00B63411" w:rsidRPr="00D24029" w:rsidRDefault="00B63411" w:rsidP="008F6431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Указывается ИНН контрагента. 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B63411" w:rsidRPr="00ED7286" w:rsidTr="008F6431">
        <w:tc>
          <w:tcPr>
            <w:tcW w:w="3965" w:type="dxa"/>
          </w:tcPr>
          <w:p w:rsidR="00B63411" w:rsidRPr="00D24029" w:rsidRDefault="00B63411" w:rsidP="008F6431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7.3. Код причины постановки на учет в налоговом органе (КПП)</w:t>
            </w:r>
          </w:p>
        </w:tc>
        <w:tc>
          <w:tcPr>
            <w:tcW w:w="5102" w:type="dxa"/>
          </w:tcPr>
          <w:p w:rsidR="00B63411" w:rsidRPr="00D24029" w:rsidRDefault="00B63411" w:rsidP="008F6431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 xml:space="preserve">Указывается КПП контрагента. </w:t>
            </w:r>
            <w:proofErr w:type="gramStart"/>
            <w:r w:rsidRPr="00D24029">
              <w:rPr>
                <w:color w:val="000000" w:themeColor="text1"/>
                <w:sz w:val="20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B63411" w:rsidRPr="00ED7286" w:rsidTr="008F6431">
        <w:tc>
          <w:tcPr>
            <w:tcW w:w="3965" w:type="dxa"/>
          </w:tcPr>
          <w:p w:rsidR="00B63411" w:rsidRPr="00D24029" w:rsidRDefault="00B63411" w:rsidP="008F6431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7.4. Код по Сводному реестру</w:t>
            </w:r>
          </w:p>
        </w:tc>
        <w:tc>
          <w:tcPr>
            <w:tcW w:w="5102" w:type="dxa"/>
          </w:tcPr>
          <w:p w:rsidR="00B63411" w:rsidRPr="00D24029" w:rsidRDefault="00B63411" w:rsidP="008F6431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D24029">
              <w:rPr>
                <w:color w:val="000000" w:themeColor="text1"/>
                <w:sz w:val="20"/>
              </w:rPr>
              <w:t>в случае наличия информации о нем в Сводном реестре в соответствии с ИНН</w:t>
            </w:r>
            <w:proofErr w:type="gramEnd"/>
            <w:r w:rsidRPr="00D24029">
              <w:rPr>
                <w:color w:val="000000" w:themeColor="text1"/>
                <w:sz w:val="20"/>
              </w:rPr>
              <w:t xml:space="preserve"> и КПП контрагента, указанным в </w:t>
            </w:r>
            <w:hyperlink w:anchor="P373" w:history="1">
              <w:r w:rsidRPr="00D24029">
                <w:rPr>
                  <w:color w:val="000000" w:themeColor="text1"/>
                  <w:sz w:val="20"/>
                </w:rPr>
                <w:t>пунктах 7.2</w:t>
              </w:r>
            </w:hyperlink>
            <w:r w:rsidRPr="00D24029">
              <w:rPr>
                <w:color w:val="000000" w:themeColor="text1"/>
                <w:sz w:val="20"/>
              </w:rPr>
              <w:t xml:space="preserve"> и </w:t>
            </w:r>
            <w:hyperlink w:anchor="P376" w:history="1">
              <w:r w:rsidRPr="00D24029">
                <w:rPr>
                  <w:color w:val="000000" w:themeColor="text1"/>
                  <w:sz w:val="20"/>
                </w:rPr>
                <w:t>7.3</w:t>
              </w:r>
            </w:hyperlink>
            <w:r w:rsidRPr="00D24029">
              <w:rPr>
                <w:color w:val="000000" w:themeColor="text1"/>
                <w:sz w:val="20"/>
              </w:rPr>
              <w:t xml:space="preserve"> настоящей информации.</w:t>
            </w:r>
          </w:p>
        </w:tc>
      </w:tr>
      <w:tr w:rsidR="00B63411" w:rsidRPr="00D24029" w:rsidTr="008F6431">
        <w:tblPrEx>
          <w:tblBorders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B63411" w:rsidRPr="00D24029" w:rsidRDefault="00B63411" w:rsidP="008F6431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7.5. Номер лицевого счета (раздела на лицевом счете)</w:t>
            </w:r>
          </w:p>
        </w:tc>
        <w:tc>
          <w:tcPr>
            <w:tcW w:w="5102" w:type="dxa"/>
            <w:tcBorders>
              <w:top w:val="nil"/>
            </w:tcBorders>
          </w:tcPr>
          <w:p w:rsidR="00B63411" w:rsidRPr="00D24029" w:rsidRDefault="00B63411" w:rsidP="008F6431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B63411" w:rsidRPr="00D24029" w:rsidRDefault="00B63411" w:rsidP="008F6431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 xml:space="preserve">Аналитический номер раздела на лицевом счете </w:t>
            </w:r>
            <w:proofErr w:type="gramStart"/>
            <w:r w:rsidRPr="00D24029">
              <w:rPr>
                <w:color w:val="000000" w:themeColor="text1"/>
                <w:sz w:val="20"/>
              </w:rPr>
              <w:t>указывается</w:t>
            </w:r>
            <w:proofErr w:type="gramEnd"/>
            <w:r w:rsidRPr="00D24029">
              <w:rPr>
                <w:color w:val="000000" w:themeColor="text1"/>
                <w:sz w:val="20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B63411" w:rsidRPr="00D24029" w:rsidTr="008F6431">
        <w:tc>
          <w:tcPr>
            <w:tcW w:w="3965" w:type="dxa"/>
          </w:tcPr>
          <w:p w:rsidR="00B63411" w:rsidRPr="00D24029" w:rsidRDefault="00B63411" w:rsidP="008F6431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7.6. Номер банковского (казначейского) счета</w:t>
            </w:r>
          </w:p>
        </w:tc>
        <w:tc>
          <w:tcPr>
            <w:tcW w:w="5102" w:type="dxa"/>
          </w:tcPr>
          <w:p w:rsidR="00B63411" w:rsidRPr="00D24029" w:rsidRDefault="00B63411" w:rsidP="008F6431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B63411" w:rsidRPr="00D24029" w:rsidTr="008F6431">
        <w:tc>
          <w:tcPr>
            <w:tcW w:w="3965" w:type="dxa"/>
          </w:tcPr>
          <w:p w:rsidR="00B63411" w:rsidRPr="00D24029" w:rsidRDefault="00B63411" w:rsidP="008F6431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7.7. Наименование банка (иной организации), в которо</w:t>
            </w:r>
            <w:proofErr w:type="gramStart"/>
            <w:r w:rsidRPr="00D24029">
              <w:rPr>
                <w:color w:val="000000" w:themeColor="text1"/>
                <w:sz w:val="20"/>
              </w:rPr>
              <w:t>м(</w:t>
            </w:r>
            <w:proofErr w:type="gramEnd"/>
            <w:r w:rsidRPr="00D24029">
              <w:rPr>
                <w:color w:val="000000" w:themeColor="text1"/>
                <w:sz w:val="20"/>
              </w:rPr>
              <w:t>-ой) открыт счет контрагенту</w:t>
            </w:r>
          </w:p>
        </w:tc>
        <w:tc>
          <w:tcPr>
            <w:tcW w:w="5102" w:type="dxa"/>
          </w:tcPr>
          <w:p w:rsidR="00B63411" w:rsidRPr="00D24029" w:rsidRDefault="00B63411" w:rsidP="008F6431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Указывается наименование банка контрагента или органа Федерального казначейства (при наличии в документе-основании).</w:t>
            </w:r>
          </w:p>
        </w:tc>
      </w:tr>
      <w:tr w:rsidR="00B63411" w:rsidRPr="00D24029" w:rsidTr="008F6431">
        <w:tc>
          <w:tcPr>
            <w:tcW w:w="3965" w:type="dxa"/>
          </w:tcPr>
          <w:p w:rsidR="00B63411" w:rsidRPr="00D24029" w:rsidRDefault="00B63411" w:rsidP="008F6431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7.8. БИК банка</w:t>
            </w:r>
          </w:p>
        </w:tc>
        <w:tc>
          <w:tcPr>
            <w:tcW w:w="5102" w:type="dxa"/>
          </w:tcPr>
          <w:p w:rsidR="00B63411" w:rsidRPr="00D24029" w:rsidRDefault="00B63411" w:rsidP="008F6431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Указывается БИК банка контрагента (при наличии в документе-основании).</w:t>
            </w:r>
          </w:p>
        </w:tc>
      </w:tr>
      <w:tr w:rsidR="00B63411" w:rsidRPr="00D24029" w:rsidTr="008F6431">
        <w:tc>
          <w:tcPr>
            <w:tcW w:w="3965" w:type="dxa"/>
          </w:tcPr>
          <w:p w:rsidR="00B63411" w:rsidRPr="00D24029" w:rsidRDefault="00B63411" w:rsidP="008F6431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7.9. Корреспондентский счет банка</w:t>
            </w:r>
          </w:p>
        </w:tc>
        <w:tc>
          <w:tcPr>
            <w:tcW w:w="5102" w:type="dxa"/>
          </w:tcPr>
          <w:p w:rsidR="00B63411" w:rsidRPr="00D24029" w:rsidRDefault="00B63411" w:rsidP="008F6431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</w:tbl>
    <w:p w:rsidR="00B63411" w:rsidRPr="00D24029" w:rsidRDefault="00B63411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EF1250" w:rsidRPr="00D24029" w:rsidRDefault="00B63411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D24029">
        <w:rPr>
          <w:color w:val="000000" w:themeColor="text1"/>
          <w:sz w:val="26"/>
          <w:szCs w:val="26"/>
        </w:rPr>
        <w:t>*</w:t>
      </w:r>
      <w:r w:rsidR="006E1649" w:rsidRPr="00D24029">
        <w:rPr>
          <w:color w:val="000000" w:themeColor="text1"/>
          <w:sz w:val="26"/>
          <w:szCs w:val="26"/>
        </w:rPr>
        <w:t xml:space="preserve">В </w:t>
      </w:r>
      <w:r w:rsidRPr="00D24029">
        <w:rPr>
          <w:color w:val="000000" w:themeColor="text1"/>
          <w:sz w:val="26"/>
          <w:szCs w:val="26"/>
        </w:rPr>
        <w:t>случае постановки на учет, принимаемое бюджетное обязательство</w:t>
      </w:r>
      <w:r w:rsidR="006E1649" w:rsidRPr="00D24029">
        <w:rPr>
          <w:color w:val="000000" w:themeColor="text1"/>
          <w:sz w:val="26"/>
          <w:szCs w:val="26"/>
        </w:rPr>
        <w:t>, возникшее на основании извещения об осуществлении закупки, приглашение принять участие в определении поставщика (подрядчика, исполнителя), а также на основании приказа (распоряжения) с расчетом годового фонда оплаты труда, иного документа, подтверждающего возникновение бюджетного обязательства, содержащего расчет годового объема оплаты труда раздел не заполняется.</w:t>
      </w:r>
    </w:p>
    <w:p w:rsidR="00B63411" w:rsidRPr="00ED7286" w:rsidRDefault="00B63411">
      <w:pPr>
        <w:pStyle w:val="ConsPlusNormal"/>
        <w:ind w:firstLine="540"/>
        <w:jc w:val="both"/>
        <w:rPr>
          <w:color w:val="FF0000"/>
          <w:sz w:val="26"/>
          <w:szCs w:val="26"/>
        </w:rPr>
      </w:pPr>
    </w:p>
    <w:p w:rsidR="005E366B" w:rsidRPr="00D24029" w:rsidRDefault="00EE3677" w:rsidP="00EF1250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D24029">
        <w:rPr>
          <w:color w:val="000000" w:themeColor="text1"/>
          <w:sz w:val="26"/>
          <w:szCs w:val="26"/>
        </w:rPr>
        <w:t>П</w:t>
      </w:r>
      <w:r w:rsidR="00965A1B" w:rsidRPr="00D24029">
        <w:rPr>
          <w:color w:val="000000" w:themeColor="text1"/>
          <w:sz w:val="26"/>
          <w:szCs w:val="26"/>
        </w:rPr>
        <w:t xml:space="preserve">ункт 14 </w:t>
      </w:r>
      <w:r w:rsidR="005E366B" w:rsidRPr="00D24029">
        <w:rPr>
          <w:color w:val="000000" w:themeColor="text1"/>
          <w:sz w:val="26"/>
          <w:szCs w:val="26"/>
        </w:rPr>
        <w:t>Приложени</w:t>
      </w:r>
      <w:r w:rsidR="00965A1B" w:rsidRPr="00D24029">
        <w:rPr>
          <w:color w:val="000000" w:themeColor="text1"/>
          <w:sz w:val="26"/>
          <w:szCs w:val="26"/>
        </w:rPr>
        <w:t>я №3 и изложить его в редакции:</w:t>
      </w:r>
      <w:bookmarkStart w:id="0" w:name="P35"/>
      <w:bookmarkEnd w:id="0"/>
    </w:p>
    <w:p w:rsidR="005E366B" w:rsidRPr="00D24029" w:rsidRDefault="005E366B" w:rsidP="003938BF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2"/>
        <w:gridCol w:w="4503"/>
        <w:gridCol w:w="4757"/>
      </w:tblGrid>
      <w:tr w:rsidR="002D7D24" w:rsidRPr="00D24029" w:rsidTr="003C751A">
        <w:tc>
          <w:tcPr>
            <w:tcW w:w="662" w:type="dxa"/>
            <w:vMerge w:val="restart"/>
            <w:tcBorders>
              <w:bottom w:val="nil"/>
            </w:tcBorders>
          </w:tcPr>
          <w:p w:rsidR="002D7D24" w:rsidRPr="00D24029" w:rsidRDefault="00182D92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bookmarkStart w:id="1" w:name="P651"/>
            <w:bookmarkEnd w:id="1"/>
            <w:r w:rsidRPr="00D24029">
              <w:rPr>
                <w:color w:val="000000" w:themeColor="text1"/>
                <w:sz w:val="20"/>
              </w:rPr>
              <w:t>14</w:t>
            </w:r>
            <w:r w:rsidR="002D7D24" w:rsidRPr="00D24029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4503" w:type="dxa"/>
            <w:vMerge w:val="restart"/>
            <w:tcBorders>
              <w:bottom w:val="nil"/>
            </w:tcBorders>
          </w:tcPr>
          <w:p w:rsidR="002D7D24" w:rsidRPr="00D24029" w:rsidRDefault="002D7D24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bookmarkStart w:id="2" w:name="P652"/>
            <w:bookmarkEnd w:id="2"/>
            <w:r w:rsidRPr="00D24029">
              <w:rPr>
                <w:color w:val="000000" w:themeColor="text1"/>
                <w:sz w:val="20"/>
              </w:rPr>
              <w:t>Документ, не определенный пунктами 3 - 13 настоящего перечня, в соответствии с которым возникает бюджетное обязательство получателя средств местного бюджета:</w:t>
            </w:r>
          </w:p>
          <w:p w:rsidR="00EF1250" w:rsidRPr="00D24029" w:rsidRDefault="002D7D24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 xml:space="preserve">- нормативный правовой акт, в соответствии с </w:t>
            </w:r>
            <w:proofErr w:type="gramStart"/>
            <w:r w:rsidRPr="00D24029">
              <w:rPr>
                <w:color w:val="000000" w:themeColor="text1"/>
                <w:sz w:val="20"/>
              </w:rPr>
              <w:t>которыми</w:t>
            </w:r>
            <w:proofErr w:type="gramEnd"/>
            <w:r w:rsidRPr="00D24029">
              <w:rPr>
                <w:color w:val="000000" w:themeColor="text1"/>
                <w:sz w:val="20"/>
              </w:rPr>
              <w:t xml:space="preserve"> возникают публичные нормативные обязательства (публичные обязательства),</w:t>
            </w:r>
            <w:r w:rsidR="00EF1250" w:rsidRPr="00D24029">
              <w:rPr>
                <w:color w:val="000000" w:themeColor="text1"/>
                <w:sz w:val="20"/>
              </w:rPr>
              <w:t xml:space="preserve"> социальные и иные выплаты населению,</w:t>
            </w:r>
            <w:r w:rsidR="003C751A" w:rsidRPr="00D24029">
              <w:rPr>
                <w:color w:val="000000" w:themeColor="text1"/>
                <w:sz w:val="20"/>
              </w:rPr>
              <w:t xml:space="preserve"> проценты банку за обслуживание исполнения социальных и иных выплат населению;</w:t>
            </w:r>
          </w:p>
          <w:p w:rsidR="002D7D24" w:rsidRPr="00D24029" w:rsidRDefault="00EF1250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 xml:space="preserve"> обязательства по уплате взносов, </w:t>
            </w:r>
            <w:r w:rsidR="002D7D24" w:rsidRPr="00D24029">
              <w:rPr>
                <w:color w:val="000000" w:themeColor="text1"/>
                <w:sz w:val="20"/>
              </w:rPr>
              <w:t>обязательства, принятые, а также обязательства по уплате платежей в бюджет (не требующие заключения договора);</w:t>
            </w:r>
          </w:p>
          <w:p w:rsidR="002D7D24" w:rsidRPr="00D24029" w:rsidRDefault="002D7D24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контрактов;</w:t>
            </w:r>
          </w:p>
          <w:p w:rsidR="002D7D24" w:rsidRPr="00D24029" w:rsidRDefault="002D7D24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- договор, оформление в письменной форме по которому законодательством Российской Федерации не требуется;</w:t>
            </w:r>
          </w:p>
          <w:p w:rsidR="002D7D24" w:rsidRPr="00D24029" w:rsidRDefault="002D7D24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- эмиссия и обращения муниципальных ценных бумаг;</w:t>
            </w:r>
          </w:p>
          <w:p w:rsidR="002D7D24" w:rsidRPr="00D24029" w:rsidRDefault="002D7D24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2D7D24" w:rsidRPr="00D24029" w:rsidRDefault="002D7D24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- акт сверки взаимных расчетов;</w:t>
            </w:r>
          </w:p>
          <w:p w:rsidR="002D7D24" w:rsidRPr="00D24029" w:rsidRDefault="00EF1250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-</w:t>
            </w:r>
            <w:r w:rsidR="002D7D24" w:rsidRPr="00D24029">
              <w:rPr>
                <w:color w:val="000000" w:themeColor="text1"/>
                <w:sz w:val="20"/>
              </w:rPr>
              <w:t>решение суда о расторжении муниципального контракта (договора);</w:t>
            </w:r>
          </w:p>
          <w:p w:rsidR="002D7D24" w:rsidRPr="00D24029" w:rsidRDefault="002D7D24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контрактов;</w:t>
            </w:r>
          </w:p>
          <w:p w:rsidR="002D7D24" w:rsidRPr="00D24029" w:rsidRDefault="002D7D24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 xml:space="preserve">- перечисление в доход местного </w:t>
            </w:r>
            <w:proofErr w:type="gramStart"/>
            <w:r w:rsidRPr="00D24029">
              <w:rPr>
                <w:color w:val="000000" w:themeColor="text1"/>
                <w:sz w:val="20"/>
              </w:rPr>
              <w:t>бюджета сумм возврата дебиторской задолженности прошлых лет</w:t>
            </w:r>
            <w:proofErr w:type="gramEnd"/>
          </w:p>
          <w:p w:rsidR="002D7D24" w:rsidRPr="00D24029" w:rsidRDefault="002D7D24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 xml:space="preserve"> - 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Акт оказанных услуг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Акт выполненных работ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Акт приема-передачи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Акт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 xml:space="preserve">Акт сверки </w:t>
            </w:r>
          </w:p>
        </w:tc>
      </w:tr>
      <w:tr w:rsidR="00182D92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182D92" w:rsidRPr="00D24029" w:rsidRDefault="00182D9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182D92" w:rsidRPr="00D24029" w:rsidRDefault="00182D9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182D92" w:rsidRPr="00D24029" w:rsidRDefault="00182D92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Акт сверки взаимных расчетов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Счет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Счет на оплату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Счет квитанция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Счет-фактура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Товарная накладная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Накладная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Универсальный передаточный документ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Решение суда о расторжении муниципального контракта (договора)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Авансовый отчет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Договор (контракт)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Заявление на выдачу денежных средств под отчет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Заявление физического лица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Квитанция</w:t>
            </w:r>
          </w:p>
        </w:tc>
      </w:tr>
      <w:tr w:rsidR="002D7D24" w:rsidRPr="00D24029" w:rsidTr="003C751A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bottom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Распоряжение (приказ, постановление) о направлении в командировку, с прилагаемым расчетом командировочных сумм</w:t>
            </w:r>
          </w:p>
        </w:tc>
      </w:tr>
      <w:tr w:rsidR="002D7D24" w:rsidRPr="00D24029" w:rsidTr="003C751A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2D7D24" w:rsidRPr="00D24029" w:rsidRDefault="002D7D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4503" w:type="dxa"/>
            <w:vMerge w:val="restart"/>
            <w:tcBorders>
              <w:top w:val="nil"/>
            </w:tcBorders>
          </w:tcPr>
          <w:p w:rsidR="002D7D24" w:rsidRPr="00D24029" w:rsidRDefault="002D7D24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</w:p>
        </w:tc>
      </w:tr>
      <w:tr w:rsidR="002D7D24" w:rsidRPr="00D24029" w:rsidTr="003C751A">
        <w:tc>
          <w:tcPr>
            <w:tcW w:w="662" w:type="dxa"/>
            <w:vMerge/>
            <w:tcBorders>
              <w:top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Чек на оплату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top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Справка-расчет</w:t>
            </w:r>
          </w:p>
        </w:tc>
      </w:tr>
      <w:tr w:rsidR="002D7D24" w:rsidRPr="00D24029" w:rsidTr="003C751A">
        <w:tc>
          <w:tcPr>
            <w:tcW w:w="662" w:type="dxa"/>
            <w:vMerge/>
            <w:tcBorders>
              <w:top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2D7D24" w:rsidRPr="00D24029" w:rsidRDefault="002D7D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2D7D24" w:rsidRPr="00D24029" w:rsidRDefault="002D7D24" w:rsidP="00BA6DBF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Справка</w:t>
            </w:r>
          </w:p>
        </w:tc>
      </w:tr>
      <w:tr w:rsidR="00743D12" w:rsidRPr="00D24029" w:rsidTr="003C751A">
        <w:tc>
          <w:tcPr>
            <w:tcW w:w="662" w:type="dxa"/>
            <w:vMerge/>
            <w:tcBorders>
              <w:top w:val="nil"/>
            </w:tcBorders>
          </w:tcPr>
          <w:p w:rsidR="00743D12" w:rsidRPr="00D24029" w:rsidRDefault="00743D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743D12" w:rsidRPr="00D24029" w:rsidRDefault="00743D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7" w:type="dxa"/>
          </w:tcPr>
          <w:p w:rsidR="00743D12" w:rsidRPr="00D24029" w:rsidRDefault="002D7D24" w:rsidP="004F04D3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D24029">
              <w:rPr>
                <w:color w:val="000000" w:themeColor="text1"/>
                <w:sz w:val="2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бюджета.</w:t>
            </w:r>
          </w:p>
        </w:tc>
      </w:tr>
    </w:tbl>
    <w:p w:rsidR="00743D12" w:rsidRPr="00D24029" w:rsidRDefault="00743D12">
      <w:pPr>
        <w:pStyle w:val="ConsPlusNormal"/>
        <w:jc w:val="both"/>
        <w:rPr>
          <w:color w:val="000000" w:themeColor="text1"/>
        </w:rPr>
      </w:pPr>
    </w:p>
    <w:p w:rsidR="00965A1B" w:rsidRPr="00D24029" w:rsidRDefault="00EE3677" w:rsidP="00EE367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color w:val="000000" w:themeColor="text1"/>
          <w:sz w:val="26"/>
          <w:szCs w:val="26"/>
        </w:rPr>
      </w:pPr>
      <w:r w:rsidRPr="00D24029">
        <w:rPr>
          <w:color w:val="000000" w:themeColor="text1"/>
          <w:sz w:val="26"/>
          <w:szCs w:val="26"/>
        </w:rPr>
        <w:t>2</w:t>
      </w:r>
      <w:r w:rsidR="00965A1B" w:rsidRPr="00D24029">
        <w:rPr>
          <w:color w:val="000000" w:themeColor="text1"/>
          <w:sz w:val="26"/>
          <w:szCs w:val="26"/>
        </w:rPr>
        <w:t>.Настоящее постановление вступает в силу с</w:t>
      </w:r>
      <w:r w:rsidR="00EF1250" w:rsidRPr="00D24029">
        <w:rPr>
          <w:color w:val="000000" w:themeColor="text1"/>
          <w:sz w:val="26"/>
          <w:szCs w:val="26"/>
        </w:rPr>
        <w:t xml:space="preserve"> момента его подписания и распространяет свое действие с </w:t>
      </w:r>
      <w:r w:rsidR="00965A1B" w:rsidRPr="00D24029">
        <w:rPr>
          <w:color w:val="000000" w:themeColor="text1"/>
          <w:sz w:val="26"/>
          <w:szCs w:val="26"/>
        </w:rPr>
        <w:t>01 января 2022 года.</w:t>
      </w:r>
    </w:p>
    <w:p w:rsidR="00965A1B" w:rsidRPr="0066039B" w:rsidRDefault="00965A1B" w:rsidP="00EE3677">
      <w:pPr>
        <w:tabs>
          <w:tab w:val="left" w:pos="5670"/>
        </w:tabs>
        <w:spacing w:after="0" w:line="240" w:lineRule="auto"/>
        <w:rPr>
          <w:color w:val="000000" w:themeColor="text1"/>
          <w:sz w:val="26"/>
          <w:szCs w:val="26"/>
        </w:rPr>
      </w:pPr>
      <w:r w:rsidRPr="0066039B">
        <w:rPr>
          <w:color w:val="000000" w:themeColor="text1"/>
          <w:sz w:val="26"/>
          <w:szCs w:val="26"/>
        </w:rPr>
        <w:t xml:space="preserve">        </w:t>
      </w:r>
      <w:r w:rsidR="00EE3677" w:rsidRPr="0066039B">
        <w:rPr>
          <w:color w:val="000000" w:themeColor="text1"/>
          <w:sz w:val="26"/>
          <w:szCs w:val="26"/>
        </w:rPr>
        <w:t>3</w:t>
      </w:r>
      <w:r w:rsidRPr="0066039B">
        <w:rPr>
          <w:color w:val="000000" w:themeColor="text1"/>
          <w:sz w:val="26"/>
          <w:szCs w:val="26"/>
        </w:rPr>
        <w:t>.</w:t>
      </w:r>
      <w:proofErr w:type="gramStart"/>
      <w:r w:rsidRPr="0066039B">
        <w:rPr>
          <w:color w:val="000000" w:themeColor="text1"/>
          <w:sz w:val="26"/>
          <w:szCs w:val="26"/>
        </w:rPr>
        <w:t>Контроль за</w:t>
      </w:r>
      <w:proofErr w:type="gramEnd"/>
      <w:r w:rsidRPr="0066039B">
        <w:rPr>
          <w:color w:val="000000" w:themeColor="text1"/>
          <w:sz w:val="26"/>
          <w:szCs w:val="26"/>
        </w:rPr>
        <w:t xml:space="preserve"> исполнением настоящего постановления возложить на </w:t>
      </w:r>
      <w:r w:rsidR="0066039B" w:rsidRPr="0066039B">
        <w:rPr>
          <w:color w:val="000000" w:themeColor="text1"/>
          <w:sz w:val="26"/>
          <w:szCs w:val="26"/>
        </w:rPr>
        <w:t>главу Шарашенского сельского поселения  А.В. Курина</w:t>
      </w:r>
      <w:r w:rsidRPr="0066039B">
        <w:rPr>
          <w:color w:val="000000" w:themeColor="text1"/>
          <w:sz w:val="26"/>
          <w:szCs w:val="26"/>
        </w:rPr>
        <w:t>.</w:t>
      </w:r>
    </w:p>
    <w:p w:rsidR="00965A1B" w:rsidRPr="0066039B" w:rsidRDefault="00965A1B" w:rsidP="00EE3677">
      <w:pPr>
        <w:pStyle w:val="ConsPlusNormal"/>
        <w:ind w:firstLine="540"/>
        <w:rPr>
          <w:color w:val="000000" w:themeColor="text1"/>
          <w:sz w:val="26"/>
          <w:szCs w:val="26"/>
        </w:rPr>
      </w:pPr>
    </w:p>
    <w:p w:rsidR="00965A1B" w:rsidRPr="00ED7286" w:rsidRDefault="00965A1B" w:rsidP="00965A1B">
      <w:pPr>
        <w:pStyle w:val="ConsPlusNormal"/>
        <w:ind w:firstLine="720"/>
        <w:jc w:val="both"/>
        <w:outlineLvl w:val="0"/>
        <w:rPr>
          <w:b/>
          <w:color w:val="FF0000"/>
        </w:rPr>
      </w:pPr>
    </w:p>
    <w:p w:rsidR="00D24029" w:rsidRDefault="00D24029" w:rsidP="00D24029">
      <w:pPr>
        <w:pStyle w:val="ConsPlusNormal"/>
      </w:pPr>
      <w:r>
        <w:t>Глава Шарашенского</w:t>
      </w:r>
      <w:r w:rsidRPr="00843BA4">
        <w:t xml:space="preserve"> </w:t>
      </w:r>
    </w:p>
    <w:p w:rsidR="00D24029" w:rsidRDefault="00D24029" w:rsidP="00D24029">
      <w:pPr>
        <w:pStyle w:val="ConsPlusNormal"/>
      </w:pPr>
      <w:r>
        <w:t>сельского поселения</w:t>
      </w:r>
      <w:r w:rsidRPr="00D24029">
        <w:t xml:space="preserve"> </w:t>
      </w:r>
      <w:r>
        <w:t xml:space="preserve">                                                                                          А.В.Курин</w:t>
      </w:r>
    </w:p>
    <w:p w:rsidR="00D24029" w:rsidRDefault="00D24029" w:rsidP="00D24029">
      <w:pPr>
        <w:spacing w:after="0" w:line="240" w:lineRule="auto"/>
        <w:ind w:firstLine="720"/>
        <w:jc w:val="center"/>
        <w:rPr>
          <w:b/>
          <w:sz w:val="32"/>
          <w:szCs w:val="26"/>
        </w:rPr>
      </w:pPr>
    </w:p>
    <w:p w:rsidR="00965A1B" w:rsidRPr="00ED7286" w:rsidRDefault="00965A1B" w:rsidP="00965A1B">
      <w:pPr>
        <w:autoSpaceDE w:val="0"/>
        <w:autoSpaceDN w:val="0"/>
        <w:adjustRightInd w:val="0"/>
        <w:spacing w:after="0" w:line="240" w:lineRule="auto"/>
        <w:rPr>
          <w:color w:val="FF0000"/>
          <w:sz w:val="26"/>
          <w:szCs w:val="26"/>
        </w:rPr>
      </w:pPr>
      <w:r w:rsidRPr="00ED7286">
        <w:rPr>
          <w:color w:val="FF0000"/>
          <w:sz w:val="26"/>
          <w:szCs w:val="26"/>
        </w:rPr>
        <w:t xml:space="preserve">    </w:t>
      </w:r>
    </w:p>
    <w:p w:rsidR="00965A1B" w:rsidRPr="00ED7286" w:rsidRDefault="00965A1B" w:rsidP="00965A1B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</w:p>
    <w:p w:rsidR="00965A1B" w:rsidRPr="00ED7286" w:rsidRDefault="00965A1B" w:rsidP="00965A1B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</w:p>
    <w:p w:rsidR="00743D12" w:rsidRPr="00ED7286" w:rsidRDefault="00743D12">
      <w:pPr>
        <w:pStyle w:val="ConsPlusNormal"/>
        <w:jc w:val="both"/>
        <w:rPr>
          <w:color w:val="FF0000"/>
        </w:rPr>
      </w:pPr>
      <w:bookmarkStart w:id="3" w:name="_GoBack"/>
      <w:bookmarkEnd w:id="3"/>
    </w:p>
    <w:sectPr w:rsidR="00743D12" w:rsidRPr="00ED7286" w:rsidSect="00502015">
      <w:headerReference w:type="default" r:id="rId10"/>
      <w:pgSz w:w="11906" w:h="16838"/>
      <w:pgMar w:top="1134" w:right="1274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913" w:rsidRDefault="006D5913" w:rsidP="009A0BAA">
      <w:pPr>
        <w:spacing w:after="0" w:line="240" w:lineRule="auto"/>
      </w:pPr>
      <w:r>
        <w:separator/>
      </w:r>
    </w:p>
  </w:endnote>
  <w:endnote w:type="continuationSeparator" w:id="0">
    <w:p w:rsidR="006D5913" w:rsidRDefault="006D5913" w:rsidP="009A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913" w:rsidRDefault="006D5913" w:rsidP="009A0BAA">
      <w:pPr>
        <w:spacing w:after="0" w:line="240" w:lineRule="auto"/>
      </w:pPr>
      <w:r>
        <w:separator/>
      </w:r>
    </w:p>
  </w:footnote>
  <w:footnote w:type="continuationSeparator" w:id="0">
    <w:p w:rsidR="006D5913" w:rsidRDefault="006D5913" w:rsidP="009A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99106"/>
      <w:docPartObj>
        <w:docPartGallery w:val="Page Numbers (Top of Page)"/>
        <w:docPartUnique/>
      </w:docPartObj>
    </w:sdtPr>
    <w:sdtContent>
      <w:p w:rsidR="00BA6DBF" w:rsidRDefault="00AB4FAB">
        <w:pPr>
          <w:pStyle w:val="a6"/>
          <w:jc w:val="center"/>
        </w:pPr>
        <w:r>
          <w:fldChar w:fldCharType="begin"/>
        </w:r>
        <w:r w:rsidR="00BA6DBF">
          <w:instrText>PAGE   \* MERGEFORMAT</w:instrText>
        </w:r>
        <w:r>
          <w:fldChar w:fldCharType="separate"/>
        </w:r>
        <w:r w:rsidR="0066039B">
          <w:rPr>
            <w:noProof/>
          </w:rPr>
          <w:t>4</w:t>
        </w:r>
        <w:r>
          <w:fldChar w:fldCharType="end"/>
        </w:r>
      </w:p>
    </w:sdtContent>
  </w:sdt>
  <w:p w:rsidR="00BA6DBF" w:rsidRDefault="00BA6D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D12"/>
    <w:rsid w:val="00021E12"/>
    <w:rsid w:val="0006536E"/>
    <w:rsid w:val="00071603"/>
    <w:rsid w:val="000B3346"/>
    <w:rsid w:val="000B7CD4"/>
    <w:rsid w:val="000C3F98"/>
    <w:rsid w:val="00131CBE"/>
    <w:rsid w:val="001573D6"/>
    <w:rsid w:val="00176B57"/>
    <w:rsid w:val="001809C3"/>
    <w:rsid w:val="00182D92"/>
    <w:rsid w:val="001A5C03"/>
    <w:rsid w:val="001B3BD3"/>
    <w:rsid w:val="001C0BEF"/>
    <w:rsid w:val="001C3052"/>
    <w:rsid w:val="001E0865"/>
    <w:rsid w:val="001E39FC"/>
    <w:rsid w:val="00244344"/>
    <w:rsid w:val="0027356B"/>
    <w:rsid w:val="002801C5"/>
    <w:rsid w:val="002822B0"/>
    <w:rsid w:val="002A5243"/>
    <w:rsid w:val="002C55CA"/>
    <w:rsid w:val="002D5326"/>
    <w:rsid w:val="002D7D24"/>
    <w:rsid w:val="002F0AFC"/>
    <w:rsid w:val="002F6157"/>
    <w:rsid w:val="00304DAF"/>
    <w:rsid w:val="00305F66"/>
    <w:rsid w:val="00311386"/>
    <w:rsid w:val="00375CA6"/>
    <w:rsid w:val="003938BF"/>
    <w:rsid w:val="003A258C"/>
    <w:rsid w:val="003B0459"/>
    <w:rsid w:val="003C751A"/>
    <w:rsid w:val="00416F8F"/>
    <w:rsid w:val="004315A5"/>
    <w:rsid w:val="004441A4"/>
    <w:rsid w:val="004657D1"/>
    <w:rsid w:val="004972C0"/>
    <w:rsid w:val="004B5B88"/>
    <w:rsid w:val="004F04D3"/>
    <w:rsid w:val="004F1DF8"/>
    <w:rsid w:val="00502015"/>
    <w:rsid w:val="00515154"/>
    <w:rsid w:val="00520C5E"/>
    <w:rsid w:val="00532585"/>
    <w:rsid w:val="0059106E"/>
    <w:rsid w:val="00593451"/>
    <w:rsid w:val="005A0EE5"/>
    <w:rsid w:val="005D17FF"/>
    <w:rsid w:val="005E366B"/>
    <w:rsid w:val="00624A59"/>
    <w:rsid w:val="0066039B"/>
    <w:rsid w:val="00661C8C"/>
    <w:rsid w:val="00673663"/>
    <w:rsid w:val="006908C6"/>
    <w:rsid w:val="006D1739"/>
    <w:rsid w:val="006D3738"/>
    <w:rsid w:val="006D5913"/>
    <w:rsid w:val="006E1649"/>
    <w:rsid w:val="00724D30"/>
    <w:rsid w:val="00743D12"/>
    <w:rsid w:val="007A0F2A"/>
    <w:rsid w:val="007A7759"/>
    <w:rsid w:val="007C6E15"/>
    <w:rsid w:val="008744E4"/>
    <w:rsid w:val="008D0CC3"/>
    <w:rsid w:val="008D2B6F"/>
    <w:rsid w:val="008E2408"/>
    <w:rsid w:val="008E2ACB"/>
    <w:rsid w:val="008E72C6"/>
    <w:rsid w:val="00927E64"/>
    <w:rsid w:val="009323F7"/>
    <w:rsid w:val="00934B24"/>
    <w:rsid w:val="00954925"/>
    <w:rsid w:val="00965A1B"/>
    <w:rsid w:val="009975E0"/>
    <w:rsid w:val="0099784F"/>
    <w:rsid w:val="009A0BAA"/>
    <w:rsid w:val="009C3B60"/>
    <w:rsid w:val="009E6C12"/>
    <w:rsid w:val="00A1643F"/>
    <w:rsid w:val="00A3206C"/>
    <w:rsid w:val="00A45669"/>
    <w:rsid w:val="00A811FC"/>
    <w:rsid w:val="00A90421"/>
    <w:rsid w:val="00A941AB"/>
    <w:rsid w:val="00AA332F"/>
    <w:rsid w:val="00AB4FAB"/>
    <w:rsid w:val="00AD0E42"/>
    <w:rsid w:val="00B00F31"/>
    <w:rsid w:val="00B03D34"/>
    <w:rsid w:val="00B63411"/>
    <w:rsid w:val="00B80567"/>
    <w:rsid w:val="00BA362E"/>
    <w:rsid w:val="00BA6DBF"/>
    <w:rsid w:val="00C32988"/>
    <w:rsid w:val="00C4546B"/>
    <w:rsid w:val="00C604AF"/>
    <w:rsid w:val="00C90271"/>
    <w:rsid w:val="00C9349C"/>
    <w:rsid w:val="00CA5A8B"/>
    <w:rsid w:val="00CC0BDE"/>
    <w:rsid w:val="00CF31AF"/>
    <w:rsid w:val="00CF5212"/>
    <w:rsid w:val="00D24029"/>
    <w:rsid w:val="00D5011F"/>
    <w:rsid w:val="00D87644"/>
    <w:rsid w:val="00DB04FE"/>
    <w:rsid w:val="00DD3684"/>
    <w:rsid w:val="00E05372"/>
    <w:rsid w:val="00E0604A"/>
    <w:rsid w:val="00E202A5"/>
    <w:rsid w:val="00E257DF"/>
    <w:rsid w:val="00E37EDE"/>
    <w:rsid w:val="00E53A91"/>
    <w:rsid w:val="00E639D0"/>
    <w:rsid w:val="00E749CB"/>
    <w:rsid w:val="00E77718"/>
    <w:rsid w:val="00E81DF8"/>
    <w:rsid w:val="00E94F22"/>
    <w:rsid w:val="00ED7286"/>
    <w:rsid w:val="00EE3677"/>
    <w:rsid w:val="00EF1250"/>
    <w:rsid w:val="00EF1AD2"/>
    <w:rsid w:val="00EF3005"/>
    <w:rsid w:val="00F60C8F"/>
    <w:rsid w:val="00FE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3D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43D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743D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E94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0BAA"/>
  </w:style>
  <w:style w:type="paragraph" w:styleId="a8">
    <w:name w:val="footer"/>
    <w:basedOn w:val="a"/>
    <w:link w:val="a9"/>
    <w:uiPriority w:val="99"/>
    <w:unhideWhenUsed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0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4B1C5468B09A6F080F4E484424D4BA1B4797217F2E83BFE81AADBC204CBC203348FBB8F37FE665CA28CAAF2175D1681D4AFCAABDBx6Q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A4B1C5468B09A6F080F4E484424D4BA1B4797217F2E83BFE81AADBC204CBC203348FBC8D33FE665CA28CAAF2175D1681D4AFCAABDBx6Q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A4B1C5468B09A6F080F4E484424D4BA1B4797217F2E83BFE81AADBC204CBC203348FBB8237F9665CA28CAAF2175D1681D4AFCAABDBx6Q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4253-4423-49DD-A767-9DA598A5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35</cp:revision>
  <cp:lastPrinted>2022-02-08T07:42:00Z</cp:lastPrinted>
  <dcterms:created xsi:type="dcterms:W3CDTF">2021-12-07T15:04:00Z</dcterms:created>
  <dcterms:modified xsi:type="dcterms:W3CDTF">2022-02-08T10:40:00Z</dcterms:modified>
</cp:coreProperties>
</file>